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2ED1778A"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FF4B05">
        <w:rPr>
          <w:rFonts w:ascii="Arial" w:hAnsi="Arial" w:cs="Arial"/>
          <w:b/>
          <w:sz w:val="22"/>
          <w:szCs w:val="22"/>
        </w:rPr>
        <w:t>20</w:t>
      </w:r>
      <w:r w:rsidR="003B2969">
        <w:rPr>
          <w:rFonts w:ascii="Arial" w:hAnsi="Arial" w:cs="Arial"/>
          <w:b/>
          <w:sz w:val="22"/>
          <w:szCs w:val="22"/>
        </w:rPr>
        <w:t>184</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669D3546"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B2969" w:rsidRPr="003B2969">
        <w:rPr>
          <w:rFonts w:ascii="Arial" w:hAnsi="Arial" w:cs="Arial"/>
          <w:b/>
          <w:sz w:val="22"/>
        </w:rPr>
        <w:t xml:space="preserve">Further discussion on </w:t>
      </w:r>
      <w:proofErr w:type="spellStart"/>
      <w:r w:rsidR="003B2969" w:rsidRPr="003B2969">
        <w:rPr>
          <w:rFonts w:ascii="Arial" w:hAnsi="Arial" w:cs="Arial"/>
          <w:b/>
          <w:sz w:val="22"/>
        </w:rPr>
        <w:t>Demod</w:t>
      </w:r>
      <w:proofErr w:type="spellEnd"/>
      <w:r w:rsidR="003B2969" w:rsidRPr="003B2969">
        <w:rPr>
          <w:rFonts w:ascii="Arial" w:hAnsi="Arial" w:cs="Arial"/>
          <w:b/>
          <w:sz w:val="22"/>
        </w:rPr>
        <w:t xml:space="preserve"> specs improvement for 6GR</w:t>
      </w:r>
    </w:p>
    <w:p w14:paraId="73AD8CE3" w14:textId="3B966973"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3B2969">
        <w:rPr>
          <w:rFonts w:ascii="Arial" w:hAnsi="Arial" w:cs="Arial"/>
          <w:b/>
          <w:sz w:val="22"/>
        </w:rPr>
        <w:t>8</w:t>
      </w:r>
      <w:r w:rsidR="00280D59" w:rsidRPr="00AA4927">
        <w:rPr>
          <w:rFonts w:ascii="Arial" w:hAnsi="Arial" w:cs="Arial"/>
          <w:b/>
          <w:bCs/>
          <w:sz w:val="22"/>
          <w:lang w:eastAsia="zh-CN"/>
        </w:rPr>
        <w:t>.</w:t>
      </w:r>
      <w:r w:rsidR="003B2969">
        <w:rPr>
          <w:rFonts w:ascii="Arial" w:hAnsi="Arial" w:cs="Arial"/>
          <w:b/>
          <w:bCs/>
          <w:sz w:val="22"/>
          <w:lang w:eastAsia="zh-CN"/>
        </w:rPr>
        <w:t>12</w:t>
      </w:r>
      <w:r w:rsidR="00CD6A21">
        <w:rPr>
          <w:rFonts w:ascii="Arial" w:hAnsi="Arial" w:cs="Arial"/>
          <w:b/>
          <w:bCs/>
          <w:sz w:val="22"/>
          <w:lang w:eastAsia="zh-CN"/>
        </w:rPr>
        <w:t>.</w:t>
      </w:r>
      <w:r w:rsidR="003B2969">
        <w:rPr>
          <w:rFonts w:ascii="Arial" w:hAnsi="Arial" w:cs="Arial"/>
          <w:b/>
          <w:bCs/>
          <w:sz w:val="22"/>
          <w:lang w:eastAsia="zh-CN"/>
        </w:rPr>
        <w:t>2.3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2BF2000A" w:rsidR="005B47FD" w:rsidRDefault="003D27CA" w:rsidP="009267C2">
      <w:pPr>
        <w:pStyle w:val="B1"/>
        <w:ind w:left="0" w:firstLine="0"/>
        <w:rPr>
          <w:sz w:val="24"/>
          <w:szCs w:val="24"/>
          <w:lang w:eastAsia="zh-CN"/>
        </w:rPr>
      </w:pPr>
      <w:r w:rsidRPr="00395EFC">
        <w:rPr>
          <w:sz w:val="24"/>
          <w:szCs w:val="24"/>
          <w:lang w:eastAsia="zh-CN"/>
        </w:rPr>
        <w:t>At RAN4#116bis, discussions on 6G operation efficiency were initiated, and the approved WF</w:t>
      </w:r>
      <w:r>
        <w:rPr>
          <w:sz w:val="24"/>
          <w:szCs w:val="24"/>
          <w:lang w:eastAsia="zh-CN"/>
        </w:rPr>
        <w:t xml:space="preserve"> [1] and several open issues are summarized</w:t>
      </w:r>
      <w:r w:rsidR="00E93A0F">
        <w:rPr>
          <w:sz w:val="24"/>
          <w:szCs w:val="24"/>
          <w:lang w:eastAsia="zh-CN"/>
        </w:rPr>
        <w:t xml:space="preserve"> based on the feature lead’s summary [2]</w:t>
      </w:r>
      <w:r>
        <w:rPr>
          <w:sz w:val="24"/>
          <w:szCs w:val="24"/>
          <w:lang w:eastAsia="zh-CN"/>
        </w:rPr>
        <w:t>.</w:t>
      </w:r>
    </w:p>
    <w:p w14:paraId="278CAF16" w14:textId="621431E7" w:rsidR="003D27CA" w:rsidRPr="00627FD1" w:rsidRDefault="003D27CA" w:rsidP="009267C2">
      <w:pPr>
        <w:pStyle w:val="B1"/>
        <w:ind w:left="0" w:firstLine="0"/>
        <w:rPr>
          <w:sz w:val="24"/>
          <w:szCs w:val="24"/>
          <w:lang w:eastAsia="zh-CN"/>
        </w:rPr>
      </w:pPr>
      <w:r w:rsidRPr="00395EFC">
        <w:rPr>
          <w:sz w:val="24"/>
          <w:szCs w:val="24"/>
          <w:lang w:eastAsia="zh-CN"/>
        </w:rPr>
        <w:t xml:space="preserve">In this contribution, we identify </w:t>
      </w:r>
      <w:r w:rsidR="00E93A0F">
        <w:rPr>
          <w:sz w:val="24"/>
          <w:szCs w:val="24"/>
          <w:lang w:eastAsia="zh-CN"/>
        </w:rPr>
        <w:t>some challenges</w:t>
      </w:r>
      <w:r w:rsidRPr="00395EFC">
        <w:rPr>
          <w:sz w:val="24"/>
          <w:szCs w:val="24"/>
          <w:lang w:eastAsia="zh-CN"/>
        </w:rPr>
        <w:t xml:space="preserve"> in</w:t>
      </w:r>
      <w:r w:rsidR="00E93A0F">
        <w:rPr>
          <w:sz w:val="24"/>
          <w:szCs w:val="24"/>
          <w:lang w:eastAsia="zh-CN"/>
        </w:rPr>
        <w:t xml:space="preserve"> the demodulation specification TS 38.101-4, and present one possible solution for improvement.</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604D060" w14:textId="1073B422" w:rsidR="0081392D" w:rsidRPr="0081392D" w:rsidRDefault="0081392D" w:rsidP="0081392D">
      <w:pPr>
        <w:pStyle w:val="B1"/>
        <w:ind w:left="0" w:firstLine="0"/>
        <w:rPr>
          <w:sz w:val="24"/>
          <w:szCs w:val="24"/>
          <w:lang w:eastAsia="zh-CN"/>
        </w:rPr>
      </w:pPr>
      <w:r w:rsidRPr="0081392D">
        <w:rPr>
          <w:sz w:val="24"/>
          <w:szCs w:val="24"/>
          <w:lang w:eastAsia="zh-CN"/>
        </w:rPr>
        <w:t>As observed in the current demodulation specification TS 38.101-4, the top-level structure mixes several fundamentally different categories of requirements within the same first-level headings. Conducted and radiated performance, demodulation and reporting performance, and feature-specific requirements such as V2X all appear at the same hierarchical level [3]. This blending of requirement types makes it difficult to understand the scope and intent of each section and complicates navigation when focusing on a particular feature or performance aspect.</w:t>
      </w:r>
    </w:p>
    <w:p w14:paraId="7732F6EB" w14:textId="01BAB4BE" w:rsidR="00C9468B" w:rsidRDefault="0081392D" w:rsidP="0081392D">
      <w:pPr>
        <w:pStyle w:val="B1"/>
        <w:ind w:left="0" w:firstLine="0"/>
        <w:rPr>
          <w:sz w:val="24"/>
          <w:szCs w:val="24"/>
          <w:lang w:eastAsia="zh-CN"/>
        </w:rPr>
      </w:pPr>
      <w:r w:rsidRPr="0081392D">
        <w:rPr>
          <w:sz w:val="24"/>
          <w:szCs w:val="24"/>
          <w:lang w:eastAsia="zh-CN"/>
        </w:rPr>
        <w:t>In addition, for features such as carrier aggregation (CA), the specification applies a suffix-based hierarchical structure at the second-level headings, mirroring the approach used in the UE RF specification TS 38.101-1. While this may provide consistency across documents, it also results in repeated and nested headings that expand significantly as more features are added. The combination of mixed requirement categories at the first level and suffix-driven proliferation of second-level headings contributes to an overall organization that is increasingly complex, lengthy, and difficult to read. As a result, identifying all requirements associated with a specific feature or performance domain becomes time-consuming and error-prone.</w:t>
      </w:r>
    </w:p>
    <w:p w14:paraId="3A75A7AD" w14:textId="3C0973D0" w:rsidR="0081392D" w:rsidRDefault="0081392D" w:rsidP="0081392D">
      <w:pPr>
        <w:pStyle w:val="B1"/>
        <w:ind w:left="0" w:firstLine="0"/>
        <w:rPr>
          <w:sz w:val="24"/>
          <w:szCs w:val="24"/>
          <w:lang w:eastAsia="zh-CN"/>
        </w:rPr>
      </w:pPr>
      <w:r>
        <w:rPr>
          <w:sz w:val="24"/>
          <w:szCs w:val="24"/>
          <w:lang w:eastAsia="zh-CN"/>
        </w:rPr>
        <w:t>Fig. 1 illustrates the current situation.</w:t>
      </w:r>
    </w:p>
    <w:p w14:paraId="6E44106A" w14:textId="77777777" w:rsidR="0081392D" w:rsidRPr="0081392D" w:rsidRDefault="0081392D" w:rsidP="0081392D">
      <w:pPr>
        <w:pStyle w:val="B1"/>
        <w:ind w:left="0" w:firstLine="0"/>
        <w:rPr>
          <w:sz w:val="24"/>
          <w:szCs w:val="24"/>
          <w:lang w:eastAsia="zh-CN"/>
        </w:rPr>
      </w:pPr>
    </w:p>
    <w:p w14:paraId="1C4A35E6" w14:textId="5D155AD9" w:rsidR="00C9468B" w:rsidRDefault="0081392D" w:rsidP="0081392D">
      <w:pPr>
        <w:jc w:val="center"/>
        <w:rPr>
          <w:lang w:val="en-US"/>
        </w:rPr>
      </w:pPr>
      <w:r w:rsidRPr="0081392D">
        <w:lastRenderedPageBreak/>
        <w:drawing>
          <wp:inline distT="0" distB="0" distL="0" distR="0" wp14:anchorId="20BB21C6" wp14:editId="2B650248">
            <wp:extent cx="5729605" cy="5205730"/>
            <wp:effectExtent l="0" t="0" r="0" b="0"/>
            <wp:docPr id="16786092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29605" cy="5205730"/>
                    </a:xfrm>
                    <a:prstGeom prst="rect">
                      <a:avLst/>
                    </a:prstGeom>
                    <a:noFill/>
                    <a:ln>
                      <a:noFill/>
                    </a:ln>
                  </pic:spPr>
                </pic:pic>
              </a:graphicData>
            </a:graphic>
          </wp:inline>
        </w:drawing>
      </w:r>
    </w:p>
    <w:p w14:paraId="36B43DAF" w14:textId="19D2987C" w:rsidR="0081392D" w:rsidRDefault="0081392D" w:rsidP="0081392D">
      <w:pPr>
        <w:jc w:val="center"/>
        <w:rPr>
          <w:lang w:val="en-US"/>
        </w:rPr>
      </w:pPr>
      <w:r>
        <w:rPr>
          <w:lang w:val="en-US"/>
        </w:rPr>
        <w:t xml:space="preserve">Fig. 1, Current headings for </w:t>
      </w:r>
      <w:proofErr w:type="spellStart"/>
      <w:r>
        <w:rPr>
          <w:lang w:val="en-US"/>
        </w:rPr>
        <w:t>demod</w:t>
      </w:r>
      <w:proofErr w:type="spellEnd"/>
      <w:r>
        <w:rPr>
          <w:lang w:val="en-US"/>
        </w:rPr>
        <w:t xml:space="preserve"> specification </w:t>
      </w:r>
    </w:p>
    <w:p w14:paraId="66026C8E" w14:textId="77777777" w:rsidR="00C9468B" w:rsidRDefault="00C9468B" w:rsidP="00C9468B">
      <w:pPr>
        <w:rPr>
          <w:lang w:val="en-US"/>
        </w:rPr>
      </w:pPr>
    </w:p>
    <w:p w14:paraId="6F118E1A" w14:textId="1C21E561" w:rsidR="00C9468B" w:rsidRPr="0081392D" w:rsidRDefault="0081392D" w:rsidP="0081392D">
      <w:pPr>
        <w:pStyle w:val="B1"/>
        <w:ind w:left="0" w:firstLine="0"/>
        <w:rPr>
          <w:sz w:val="24"/>
          <w:szCs w:val="24"/>
          <w:lang w:eastAsia="zh-CN"/>
        </w:rPr>
      </w:pPr>
      <w:r w:rsidRPr="0081392D">
        <w:rPr>
          <w:sz w:val="24"/>
          <w:szCs w:val="24"/>
          <w:lang w:eastAsia="zh-CN"/>
        </w:rPr>
        <w:t>One possible approach is to restructure the specification so that the top-level organization is feature-based. For each feature, the corresponding chapter would contain all related requirements—conducted, radiated, demodulation, reporting, and any other relevant aspects—in a fully self-contained manner, providing a complete and coherent view of that feature. An illustrative example of such an organization is shown in Fig. 2 below. With this structure, there is no need for the current suffix-based heading scheme, and the specification becomes easier to navigate, read, and maintain</w:t>
      </w:r>
      <w:r>
        <w:rPr>
          <w:sz w:val="24"/>
          <w:szCs w:val="24"/>
          <w:lang w:eastAsia="zh-CN"/>
        </w:rPr>
        <w:t xml:space="preserve">. </w:t>
      </w:r>
    </w:p>
    <w:p w14:paraId="1C25C801" w14:textId="77777777" w:rsidR="0081392D" w:rsidRPr="0081392D" w:rsidRDefault="0081392D" w:rsidP="00C9468B"/>
    <w:p w14:paraId="10B8803E" w14:textId="7829D1FF" w:rsidR="0081392D" w:rsidRDefault="0081392D" w:rsidP="0081392D">
      <w:pPr>
        <w:jc w:val="center"/>
        <w:rPr>
          <w:lang w:val="en-US"/>
        </w:rPr>
      </w:pPr>
      <w:r w:rsidRPr="0081392D">
        <w:lastRenderedPageBreak/>
        <w:drawing>
          <wp:inline distT="0" distB="0" distL="0" distR="0" wp14:anchorId="69A1EBC1" wp14:editId="7705FA9C">
            <wp:extent cx="5050847" cy="7548562"/>
            <wp:effectExtent l="0" t="0" r="0" b="0"/>
            <wp:docPr id="80709903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1847" cy="7550056"/>
                    </a:xfrm>
                    <a:prstGeom prst="rect">
                      <a:avLst/>
                    </a:prstGeom>
                    <a:noFill/>
                    <a:ln>
                      <a:noFill/>
                    </a:ln>
                  </pic:spPr>
                </pic:pic>
              </a:graphicData>
            </a:graphic>
          </wp:inline>
        </w:drawing>
      </w:r>
    </w:p>
    <w:p w14:paraId="680D8873" w14:textId="66970DFB" w:rsidR="0081392D" w:rsidRPr="00424BF6" w:rsidRDefault="0081392D" w:rsidP="0081392D">
      <w:pPr>
        <w:jc w:val="center"/>
        <w:rPr>
          <w:lang w:val="en-US"/>
        </w:rPr>
      </w:pPr>
      <w:r>
        <w:rPr>
          <w:lang w:val="en-US"/>
        </w:rPr>
        <w:t xml:space="preserve">Fig. 2, Self-contained feature-specific requirement structure for </w:t>
      </w:r>
      <w:proofErr w:type="spellStart"/>
      <w:r>
        <w:rPr>
          <w:lang w:val="en-US"/>
        </w:rPr>
        <w:t>demod</w:t>
      </w:r>
      <w:proofErr w:type="spellEnd"/>
      <w:r>
        <w:rPr>
          <w:lang w:val="en-US"/>
        </w:rPr>
        <w:t xml:space="preserve"> specification</w:t>
      </w:r>
    </w:p>
    <w:p w14:paraId="7F672A4C" w14:textId="77777777" w:rsidR="00C9468B" w:rsidRDefault="00C9468B" w:rsidP="009267C2">
      <w:pPr>
        <w:pStyle w:val="B1"/>
        <w:ind w:left="0" w:firstLine="0"/>
        <w:rPr>
          <w:sz w:val="24"/>
          <w:szCs w:val="24"/>
          <w:lang w:eastAsia="zh-CN"/>
        </w:rPr>
      </w:pPr>
    </w:p>
    <w:p w14:paraId="3B61CDA5" w14:textId="21B9E876" w:rsidR="00C9468B" w:rsidRPr="00756B1A" w:rsidRDefault="0081392D" w:rsidP="009267C2">
      <w:pPr>
        <w:pStyle w:val="B1"/>
        <w:ind w:left="0" w:firstLine="0"/>
        <w:rPr>
          <w:b/>
          <w:bCs/>
          <w:sz w:val="24"/>
          <w:szCs w:val="24"/>
          <w:lang w:eastAsia="zh-CN"/>
        </w:rPr>
      </w:pPr>
      <w:r w:rsidRPr="00756B1A">
        <w:rPr>
          <w:b/>
          <w:bCs/>
          <w:sz w:val="24"/>
          <w:szCs w:val="24"/>
          <w:lang w:eastAsia="zh-CN"/>
        </w:rPr>
        <w:t xml:space="preserve">Proposal 1: RAN4 to consider </w:t>
      </w:r>
      <w:r w:rsidRPr="00756B1A">
        <w:rPr>
          <w:b/>
          <w:bCs/>
          <w:sz w:val="24"/>
          <w:szCs w:val="24"/>
          <w:lang w:eastAsia="zh-CN"/>
        </w:rPr>
        <w:t>organizing performance requirements in the 6G demodulation specification using a feature-based top-level structure, where each feature is presented in a fully self-contained manner</w:t>
      </w:r>
      <w:r w:rsidRPr="00756B1A">
        <w:rPr>
          <w:b/>
          <w:bCs/>
          <w:sz w:val="24"/>
          <w:szCs w:val="24"/>
          <w:lang w:eastAsia="zh-CN"/>
        </w:rPr>
        <w:t>.</w:t>
      </w:r>
    </w:p>
    <w:p w14:paraId="52E0052A" w14:textId="77777777" w:rsidR="00C9468B" w:rsidRPr="00067F13" w:rsidRDefault="00C9468B"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lastRenderedPageBreak/>
        <w:t>3 Conclusion</w:t>
      </w:r>
    </w:p>
    <w:p w14:paraId="3F6700F5" w14:textId="3D3004E8" w:rsidR="009267C2" w:rsidRDefault="00756B1A" w:rsidP="009267C2">
      <w:pPr>
        <w:pStyle w:val="B1"/>
        <w:ind w:left="0" w:firstLine="0"/>
        <w:rPr>
          <w:sz w:val="24"/>
          <w:szCs w:val="24"/>
          <w:lang w:eastAsia="zh-CN"/>
        </w:rPr>
      </w:pPr>
      <w:r>
        <w:rPr>
          <w:sz w:val="24"/>
          <w:szCs w:val="24"/>
          <w:lang w:eastAsia="zh-CN"/>
        </w:rPr>
        <w:t xml:space="preserve">In this contribution, we have the following proposal on </w:t>
      </w:r>
      <w:proofErr w:type="spellStart"/>
      <w:r>
        <w:rPr>
          <w:sz w:val="24"/>
          <w:szCs w:val="24"/>
          <w:lang w:eastAsia="zh-CN"/>
        </w:rPr>
        <w:t>demod</w:t>
      </w:r>
      <w:proofErr w:type="spellEnd"/>
      <w:r>
        <w:rPr>
          <w:sz w:val="24"/>
          <w:szCs w:val="24"/>
          <w:lang w:eastAsia="zh-CN"/>
        </w:rPr>
        <w:t xml:space="preserve"> specs improvement for 6GR:</w:t>
      </w:r>
    </w:p>
    <w:p w14:paraId="55A8590B" w14:textId="77777777" w:rsidR="00756B1A" w:rsidRPr="00756B1A" w:rsidRDefault="00756B1A" w:rsidP="00756B1A">
      <w:pPr>
        <w:pStyle w:val="B1"/>
        <w:ind w:left="0" w:firstLine="0"/>
        <w:rPr>
          <w:b/>
          <w:bCs/>
          <w:sz w:val="24"/>
          <w:szCs w:val="24"/>
          <w:lang w:eastAsia="zh-CN"/>
        </w:rPr>
      </w:pPr>
      <w:r w:rsidRPr="00756B1A">
        <w:rPr>
          <w:b/>
          <w:bCs/>
          <w:sz w:val="24"/>
          <w:szCs w:val="24"/>
          <w:lang w:eastAsia="zh-CN"/>
        </w:rPr>
        <w:t>Proposal 1: RAN4 to consider organizing performance requirements in the 6G demodulation specification using a feature-based top-level structure, where each feature is presented in a fully self-contained manner.</w:t>
      </w:r>
    </w:p>
    <w:p w14:paraId="07F74FBD" w14:textId="77777777" w:rsidR="00756B1A" w:rsidRPr="00627FD1" w:rsidRDefault="00756B1A"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14532855" w14:textId="77777777" w:rsidR="003D27CA" w:rsidRDefault="003D27CA" w:rsidP="003D27CA">
      <w:pPr>
        <w:pStyle w:val="B1"/>
        <w:ind w:left="0" w:firstLine="0"/>
        <w:rPr>
          <w:sz w:val="24"/>
          <w:szCs w:val="24"/>
          <w:lang w:eastAsia="zh-CN"/>
        </w:rPr>
      </w:pPr>
      <w:r w:rsidRPr="00627FD1">
        <w:rPr>
          <w:sz w:val="24"/>
          <w:szCs w:val="24"/>
          <w:lang w:eastAsia="zh-CN"/>
        </w:rPr>
        <w:t xml:space="preserve">[1] </w:t>
      </w:r>
      <w:r>
        <w:rPr>
          <w:sz w:val="24"/>
          <w:szCs w:val="24"/>
          <w:lang w:eastAsia="zh-CN"/>
        </w:rPr>
        <w:t>R4-2514648, “</w:t>
      </w:r>
      <w:r w:rsidRPr="00EC01A4">
        <w:rPr>
          <w:sz w:val="24"/>
          <w:szCs w:val="24"/>
          <w:lang w:eastAsia="zh-CN"/>
        </w:rPr>
        <w:t>Way Forward for [116bis][111] 6G operation efficiency</w:t>
      </w:r>
      <w:r>
        <w:rPr>
          <w:sz w:val="24"/>
          <w:szCs w:val="24"/>
          <w:lang w:eastAsia="zh-CN"/>
        </w:rPr>
        <w:t>”, CATT</w:t>
      </w:r>
    </w:p>
    <w:p w14:paraId="553F0C5C" w14:textId="77777777" w:rsidR="003D27CA" w:rsidRDefault="003D27CA" w:rsidP="003D27CA">
      <w:pPr>
        <w:pStyle w:val="B1"/>
        <w:ind w:left="0" w:firstLine="0"/>
        <w:rPr>
          <w:sz w:val="24"/>
          <w:szCs w:val="24"/>
          <w:lang w:eastAsia="zh-CN"/>
        </w:rPr>
      </w:pPr>
      <w:r>
        <w:rPr>
          <w:sz w:val="24"/>
          <w:szCs w:val="24"/>
          <w:lang w:eastAsia="zh-CN"/>
        </w:rPr>
        <w:t xml:space="preserve">[2] </w:t>
      </w:r>
      <w:r w:rsidRPr="00877357">
        <w:rPr>
          <w:sz w:val="24"/>
          <w:szCs w:val="24"/>
          <w:lang w:eastAsia="zh-CN"/>
        </w:rPr>
        <w:t>R4-2514518, “Topic summary for [116bis][111] 6G operation efficiency”, Moderator(CATT)</w:t>
      </w:r>
    </w:p>
    <w:p w14:paraId="384BAE22" w14:textId="6ED4254C" w:rsidR="00E93A0F" w:rsidRDefault="00E93A0F" w:rsidP="003D27CA">
      <w:pPr>
        <w:pStyle w:val="B1"/>
        <w:ind w:left="0" w:firstLine="0"/>
        <w:rPr>
          <w:sz w:val="24"/>
          <w:szCs w:val="24"/>
          <w:lang w:eastAsia="zh-CN"/>
        </w:rPr>
      </w:pPr>
      <w:r>
        <w:rPr>
          <w:sz w:val="24"/>
          <w:szCs w:val="24"/>
          <w:lang w:eastAsia="zh-CN"/>
        </w:rPr>
        <w:t>[3] 3GPP TS 38.101-4 v19.0.0</w:t>
      </w:r>
    </w:p>
    <w:p w14:paraId="627CE097" w14:textId="6A81E5A0" w:rsidR="009267C2" w:rsidRPr="00627FD1" w:rsidRDefault="009267C2"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91622" w14:textId="77777777" w:rsidR="00920218" w:rsidRPr="00A10429" w:rsidRDefault="00920218" w:rsidP="0064547A">
      <w:pPr>
        <w:spacing w:after="0"/>
        <w:rPr>
          <w:kern w:val="2"/>
          <w:lang w:eastAsia="zh-CN"/>
        </w:rPr>
      </w:pPr>
      <w:r>
        <w:separator/>
      </w:r>
    </w:p>
  </w:endnote>
  <w:endnote w:type="continuationSeparator" w:id="0">
    <w:p w14:paraId="0ED5CFB4" w14:textId="77777777" w:rsidR="00920218" w:rsidRPr="00A10429" w:rsidRDefault="00920218"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6A738" w14:textId="77777777" w:rsidR="00920218" w:rsidRPr="00A10429" w:rsidRDefault="00920218" w:rsidP="0064547A">
      <w:pPr>
        <w:spacing w:after="0"/>
        <w:rPr>
          <w:kern w:val="2"/>
          <w:lang w:eastAsia="zh-CN"/>
        </w:rPr>
      </w:pPr>
      <w:r>
        <w:separator/>
      </w:r>
    </w:p>
  </w:footnote>
  <w:footnote w:type="continuationSeparator" w:id="0">
    <w:p w14:paraId="3343DAF7" w14:textId="77777777" w:rsidR="00920218" w:rsidRPr="00A10429" w:rsidRDefault="00920218"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6"/>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8"/>
  </w:num>
  <w:num w:numId="7" w16cid:durableId="1073939429">
    <w:abstractNumId w:val="3"/>
  </w:num>
  <w:num w:numId="8" w16cid:durableId="214005466">
    <w:abstractNumId w:val="17"/>
  </w:num>
  <w:num w:numId="9" w16cid:durableId="1446921232">
    <w:abstractNumId w:val="26"/>
  </w:num>
  <w:num w:numId="10" w16cid:durableId="1699429464">
    <w:abstractNumId w:val="26"/>
  </w:num>
  <w:num w:numId="11" w16cid:durableId="1062680395">
    <w:abstractNumId w:val="1"/>
  </w:num>
  <w:num w:numId="12" w16cid:durableId="2118793171">
    <w:abstractNumId w:val="7"/>
  </w:num>
  <w:num w:numId="13" w16cid:durableId="1243837963">
    <w:abstractNumId w:val="6"/>
  </w:num>
  <w:num w:numId="14" w16cid:durableId="1296058729">
    <w:abstractNumId w:val="23"/>
  </w:num>
  <w:num w:numId="15" w16cid:durableId="1988124532">
    <w:abstractNumId w:val="26"/>
  </w:num>
  <w:num w:numId="16" w16cid:durableId="563225832">
    <w:abstractNumId w:val="26"/>
  </w:num>
  <w:num w:numId="17" w16cid:durableId="599262311">
    <w:abstractNumId w:val="16"/>
  </w:num>
  <w:num w:numId="18" w16cid:durableId="161748096">
    <w:abstractNumId w:val="27"/>
  </w:num>
  <w:num w:numId="19" w16cid:durableId="573126915">
    <w:abstractNumId w:val="26"/>
  </w:num>
  <w:num w:numId="20" w16cid:durableId="2004045065">
    <w:abstractNumId w:val="5"/>
  </w:num>
  <w:num w:numId="21" w16cid:durableId="584807274">
    <w:abstractNumId w:val="26"/>
  </w:num>
  <w:num w:numId="22" w16cid:durableId="181170718">
    <w:abstractNumId w:val="26"/>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9"/>
  </w:num>
  <w:num w:numId="29" w16cid:durableId="381445059">
    <w:abstractNumId w:val="20"/>
  </w:num>
  <w:num w:numId="30" w16cid:durableId="2003196174">
    <w:abstractNumId w:val="15"/>
  </w:num>
  <w:num w:numId="31" w16cid:durableId="886913614">
    <w:abstractNumId w:val="14"/>
  </w:num>
  <w:num w:numId="32" w16cid:durableId="48724925">
    <w:abstractNumId w:val="22"/>
  </w:num>
  <w:num w:numId="33" w16cid:durableId="1028601228">
    <w:abstractNumId w:val="21"/>
  </w:num>
  <w:num w:numId="34" w16cid:durableId="1275207278">
    <w:abstractNumId w:val="13"/>
  </w:num>
  <w:num w:numId="35" w16cid:durableId="608245496">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074"/>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969"/>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7CA"/>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6B1A"/>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92D"/>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3EB"/>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218"/>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6B97"/>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68B"/>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3A0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3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21</TotalTime>
  <Pages>4</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8</cp:revision>
  <dcterms:created xsi:type="dcterms:W3CDTF">2025-11-07T11:51:00Z</dcterms:created>
  <dcterms:modified xsi:type="dcterms:W3CDTF">2025-11-07T12:15:00Z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